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tabs>
          <w:tab w:val="right" w:pos="9639"/>
        </w:tabs>
        <w:spacing w:after="0"/>
        <w:rPr>
          <w:b/>
          <w:i/>
          <w:sz w:val="24"/>
          <w:szCs w:val="24"/>
        </w:rPr>
      </w:pPr>
      <w:bookmarkStart w:id="0" w:name="OLE_LINK16"/>
      <w:bookmarkStart w:id="1" w:name="OLE_LINK1"/>
      <w:bookmarkStart w:id="2" w:name="OLE_LINK15"/>
      <w:bookmarkStart w:id="3" w:name="OLE_LINK2"/>
      <w:bookmarkStart w:id="4" w:name="OLE_LINK6"/>
      <w:r>
        <w:rPr>
          <w:b/>
          <w:sz w:val="24"/>
          <w:szCs w:val="24"/>
        </w:rPr>
        <w:t>3GPP TSG-RAN WG1 Meeting #104-e</w:t>
      </w: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>R1-2103486</w:t>
      </w:r>
    </w:p>
    <w:p>
      <w:pPr>
        <w:pStyle w:val="99"/>
        <w:outlineLvl w:val="0"/>
        <w:rPr>
          <w:b/>
          <w:sz w:val="24"/>
        </w:rPr>
      </w:pPr>
      <w:r>
        <w:rPr>
          <w:b/>
          <w:sz w:val="24"/>
          <w:szCs w:val="24"/>
        </w:rPr>
        <w:t>e-Meeting, April 12th – April 20th, 2021</w:t>
      </w:r>
    </w:p>
    <w:tbl>
      <w:tblPr>
        <w:tblStyle w:val="37"/>
        <w:tblpPr w:leftFromText="180" w:rightFromText="180" w:vertAnchor="page" w:horzAnchor="margin" w:tblpY="2206"/>
        <w:tblW w:w="9641" w:type="dxa"/>
        <w:tblInd w:w="0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bookmarkStart w:id="8" w:name="_GoBack"/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xxxx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3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3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3"/>
                <w:rFonts w:cs="Arial"/>
                <w:b/>
                <w:i/>
                <w:color w:val="FF0000"/>
              </w:rPr>
              <w:t>P</w:t>
            </w:r>
            <w:r>
              <w:rPr>
                <w:rStyle w:val="3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3"/>
                <w:rFonts w:cs="Arial"/>
                <w:i/>
              </w:rPr>
              <w:t>http://www.3gpp.org/Change-Requests</w:t>
            </w:r>
            <w:r>
              <w:rPr>
                <w:rStyle w:val="3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/>
              </w:rPr>
            </w:pPr>
            <w:r>
              <w:t>Correction on MsgA</w:t>
            </w:r>
            <w:r>
              <w:rPr>
                <w:rFonts w:eastAsia="宋体"/>
                <w:lang w:val="en-US" w:eastAsia="zh-CN"/>
              </w:rPr>
              <w:t xml:space="preserve"> PUSCH validation for FBE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2021-0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3"/>
                <w:sz w:val="18"/>
              </w:rPr>
              <w:t>TR 21.900</w:t>
            </w:r>
            <w:r>
              <w:rPr>
                <w:rStyle w:val="3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spacing w:after="240"/>
              <w:ind w:left="0" w:firstLine="0"/>
              <w:rPr>
                <w:rFonts w:ascii="Arial" w:hAnsi="Arial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Cs w:val="22"/>
                <w:lang w:val="en-US" w:eastAsia="zh-CN"/>
              </w:rPr>
              <w:t xml:space="preserve">The UEs shall not transmit any transmissions in idle period of FBE, </w:t>
            </w:r>
            <w:r>
              <w:rPr>
                <w:rFonts w:ascii="Arial" w:hAnsi="Arial"/>
                <w:szCs w:val="22"/>
                <w:lang w:val="en-US" w:eastAsia="zh-CN"/>
              </w:rPr>
              <w:t>regardless</w:t>
            </w:r>
            <w:r>
              <w:rPr>
                <w:rFonts w:hint="eastAsia" w:ascii="Arial" w:hAnsi="Arial"/>
                <w:szCs w:val="22"/>
                <w:lang w:val="en-US" w:eastAsia="zh-CN"/>
              </w:rPr>
              <w:t xml:space="preserve"> tdd-UL-DL-ConfigurationCommon is provided or not.</w:t>
            </w:r>
            <w:r>
              <w:rPr>
                <w:rFonts w:ascii="Arial" w:hAnsi="Arial"/>
                <w:szCs w:val="22"/>
                <w:lang w:val="en-US" w:eastAsia="zh-CN"/>
              </w:rPr>
              <w:t xml:space="preserve"> </w:t>
            </w:r>
          </w:p>
          <w:p>
            <w:pPr>
              <w:pStyle w:val="56"/>
              <w:spacing w:after="240"/>
              <w:ind w:left="0" w:firstLine="0"/>
            </w:pPr>
            <w:r>
              <w:rPr>
                <w:rFonts w:ascii="Arial" w:hAnsi="Arial"/>
                <w:szCs w:val="22"/>
                <w:lang w:val="en-US" w:eastAsia="zh-CN"/>
              </w:rPr>
              <w:t>The description for PRACH validation in section 8.1 is correctly captured for both cases. However, for the MsgA PUSCH validation, the restriction is only captured for the case that a UE is provided tdd-UL-DL-ConfigurationCommon.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Adding the FBE restriction </w:t>
            </w:r>
            <w:r>
              <w:rPr>
                <w:rFonts w:eastAsia="宋体"/>
                <w:lang w:val="en-US" w:eastAsia="zh-CN"/>
              </w:rPr>
              <w:t>for the case that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the UE is</w:t>
            </w:r>
            <w:r>
              <w:rPr>
                <w:rFonts w:hint="eastAsia"/>
                <w:lang w:val="en-US" w:eastAsia="zh-CN"/>
              </w:rPr>
              <w:t xml:space="preserve"> not</w:t>
            </w:r>
            <w:r>
              <w:rPr>
                <w:lang w:eastAsia="zh-CN"/>
              </w:rPr>
              <w:t xml:space="preserve"> provided </w:t>
            </w:r>
            <w:r>
              <w:rPr>
                <w:i/>
                <w:lang w:val="en-US"/>
              </w:rPr>
              <w:t>tdd-</w:t>
            </w:r>
            <w:r>
              <w:rPr>
                <w:i/>
              </w:rPr>
              <w:t>UL-DL-</w:t>
            </w:r>
            <w:r>
              <w:rPr>
                <w:i/>
                <w:lang w:val="en-US"/>
              </w:rPr>
              <w:t>ConfigurationCommon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rPr>
                <w:rFonts w:eastAsia="宋体"/>
                <w:lang w:val="en-US" w:eastAsia="zh-CN"/>
              </w:rPr>
            </w:pPr>
            <w:r>
              <w:t>Incorrect UE behavior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8.1A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3"/>
        <w:numPr>
          <w:ilvl w:val="1"/>
          <w:numId w:val="0"/>
        </w:numPr>
        <w:rPr>
          <w:rFonts w:ascii="Times New Roman" w:hAnsi="Times New Roman"/>
          <w:color w:val="FF0000"/>
          <w:szCs w:val="20"/>
        </w:rPr>
      </w:pPr>
      <w:bookmarkStart w:id="6" w:name="_Toc45699185"/>
      <w:bookmarkStart w:id="7" w:name="_Toc60601302"/>
      <w:r>
        <w:t>8</w:t>
      </w:r>
      <w:r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6"/>
      <w:bookmarkEnd w:id="7"/>
    </w:p>
    <w:p>
      <w:pPr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>
      <w:pPr>
        <w:jc w:val="center"/>
        <w:rPr>
          <w:color w:val="FF0000"/>
        </w:rPr>
      </w:pPr>
    </w:p>
    <w:p>
      <w:pPr>
        <w:rPr>
          <w:lang w:eastAsia="zh-CN"/>
        </w:rPr>
      </w:pPr>
      <w:r>
        <w:rPr>
          <w:lang w:eastAsia="zh-CN"/>
        </w:rPr>
        <w:t xml:space="preserve">A PUSCH occasion is valid if it does not overlap in time and frequency with any valid PRACH occasion associated with either a Type-1 random access procedure or a Type-2 random access procedure. Additionally, for unpaired spectrum and for SS/PBCH blocks with indexes </w:t>
      </w:r>
      <w:r>
        <w:rPr>
          <w:rFonts w:hint="eastAsia"/>
          <w:lang w:eastAsia="zh-CN"/>
        </w:rPr>
        <w:t>provided by</w:t>
      </w:r>
      <w:r>
        <w:t xml:space="preserve"> </w:t>
      </w:r>
      <w:r>
        <w:rPr>
          <w:i/>
        </w:rPr>
        <w:t>ssb-PositionsInBurst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</w:t>
      </w:r>
      <w:r>
        <w:rPr>
          <w:rFonts w:hint="eastAsia"/>
          <w:i/>
          <w:lang w:eastAsia="zh-CN"/>
        </w:rPr>
        <w:t>IB</w:t>
      </w:r>
      <w:r>
        <w:rPr>
          <w:i/>
        </w:rPr>
        <w:t>1</w:t>
      </w:r>
      <w:r>
        <w:t xml:space="preserve"> or by </w:t>
      </w:r>
      <w:r>
        <w:rPr>
          <w:i/>
        </w:rPr>
        <w:t>ServingCellConfigCommon</w:t>
      </w:r>
      <w:r>
        <w:rPr>
          <w:lang w:eastAsia="zh-CN"/>
        </w:rPr>
        <w:t xml:space="preserve"> </w:t>
      </w:r>
    </w:p>
    <w:p>
      <w:pPr>
        <w:pStyle w:val="56"/>
        <w:spacing w:after="240"/>
      </w:pPr>
      <w:r>
        <w:t>-</w:t>
      </w:r>
      <w:r>
        <w:tab/>
      </w:r>
      <w:r>
        <w:rPr>
          <w:lang w:eastAsia="zh-CN"/>
        </w:rPr>
        <w:t xml:space="preserve">if a UE is not provided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ConfigurationCommon</w:t>
      </w:r>
      <w:r>
        <w:t>, a PUSCH occasion is valid if the PUSCH occasion</w:t>
      </w:r>
    </w:p>
    <w:p>
      <w:pPr>
        <w:pStyle w:val="63"/>
      </w:pPr>
      <w:r>
        <w:t>-</w:t>
      </w:r>
      <w:r>
        <w:tab/>
      </w:r>
      <w:r>
        <w:t xml:space="preserve">does not precede a SS/PBCH block in the PUSCH slot, and </w:t>
      </w:r>
    </w:p>
    <w:p>
      <w:pPr>
        <w:pStyle w:val="63"/>
      </w:pPr>
      <w:r>
        <w:t>-</w:t>
      </w:r>
      <w:r>
        <w:tab/>
      </w:r>
      <w:r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in Table 8.1-2</w:t>
      </w:r>
      <w:r>
        <w:rPr>
          <w:rFonts w:hint="eastAsia"/>
          <w:lang w:val="en-US" w:eastAsia="zh-CN"/>
        </w:rPr>
        <w:t xml:space="preserve"> </w:t>
      </w:r>
      <w:r>
        <w:rPr>
          <w:color w:val="FF0000"/>
          <w:lang w:val="en-US"/>
        </w:rPr>
        <w:t xml:space="preserve">and, </w:t>
      </w:r>
      <w:r>
        <w:rPr>
          <w:rFonts w:hint="eastAsia"/>
          <w:color w:val="FF0000"/>
        </w:rPr>
        <w:t xml:space="preserve">if </w:t>
      </w:r>
      <w:r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</w:rPr>
        <w:t>hannelAccess</w:t>
      </w:r>
      <w:r>
        <w:rPr>
          <w:rFonts w:hint="eastAsia"/>
          <w:i/>
          <w:iCs/>
          <w:color w:val="FF0000"/>
          <w:lang w:eastAsia="zh-CN"/>
        </w:rPr>
        <w:t>Mode</w:t>
      </w:r>
      <w:r>
        <w:rPr>
          <w:rFonts w:hint="eastAsia"/>
          <w:color w:val="FF0000"/>
        </w:rPr>
        <w:t xml:space="preserve"> = </w:t>
      </w:r>
      <w:r>
        <w:rPr>
          <w:rFonts w:hint="eastAsia"/>
          <w:i/>
          <w:iCs/>
          <w:color w:val="FF0000"/>
        </w:rPr>
        <w:t>semistatic</w:t>
      </w:r>
      <w:r>
        <w:rPr>
          <w:rFonts w:hint="eastAsia"/>
          <w:color w:val="FF0000"/>
        </w:rPr>
        <w:t xml:space="preserve"> is provided, does not overlap with a set of consecutive symbols before the start of a next channel occupancy time where </w:t>
      </w:r>
      <w:r>
        <w:rPr>
          <w:color w:val="FF0000"/>
          <w:lang w:val="en-US"/>
        </w:rPr>
        <w:t>the UE does not</w:t>
      </w:r>
      <w:r>
        <w:rPr>
          <w:rFonts w:hint="eastAsia"/>
          <w:color w:val="FF0000"/>
        </w:rPr>
        <w:t xml:space="preserve"> transmi</w:t>
      </w:r>
      <w:r>
        <w:rPr>
          <w:color w:val="FF0000"/>
          <w:lang w:val="en-US"/>
        </w:rPr>
        <w:t>t</w:t>
      </w:r>
      <w:r>
        <w:rPr>
          <w:rFonts w:hint="eastAsia"/>
          <w:color w:val="FF0000"/>
        </w:rPr>
        <w:t xml:space="preserve"> [15, TS 37.213]</w:t>
      </w:r>
      <w:r>
        <w:rPr>
          <w:color w:val="FF0000"/>
        </w:rPr>
        <w:t>.</w:t>
      </w:r>
    </w:p>
    <w:p>
      <w:pPr>
        <w:pStyle w:val="56"/>
      </w:pPr>
      <w:r>
        <w:t>-</w:t>
      </w:r>
      <w:r>
        <w:tab/>
      </w:r>
      <w:r>
        <w:rPr>
          <w:lang w:eastAsia="zh-CN"/>
        </w:rPr>
        <w:t xml:space="preserve">if a UE is provided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ConfigurationCommon</w:t>
      </w:r>
      <w:r>
        <w:t>, a PUSCH occasion is valid if the PUSCH occasion</w:t>
      </w:r>
    </w:p>
    <w:p>
      <w:pPr>
        <w:pStyle w:val="63"/>
      </w:pPr>
      <w:r>
        <w:t>-</w:t>
      </w:r>
      <w:r>
        <w:tab/>
      </w:r>
      <w:r>
        <w:t>is within UL symbols</w:t>
      </w:r>
      <w:r>
        <w:rPr>
          <w:lang w:val="en-US"/>
        </w:rPr>
        <w:t xml:space="preserve">, </w:t>
      </w:r>
      <w:r>
        <w:t xml:space="preserve">or </w:t>
      </w:r>
    </w:p>
    <w:p>
      <w:pPr>
        <w:pStyle w:val="63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does not precede a SS/PBCH block in the PUSCH slot, and </w:t>
      </w:r>
    </w:p>
    <w:p>
      <w:pPr>
        <w:pStyle w:val="63"/>
      </w:pPr>
      <w:r>
        <w:rPr>
          <w:lang w:val="en-US"/>
        </w:rPr>
        <w:t>-</w:t>
      </w:r>
      <w:r>
        <w:rPr>
          <w:lang w:val="en-US"/>
        </w:rPr>
        <w:tab/>
      </w:r>
      <w:r>
        <w:t>starts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symbols after a last downlink symbol and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symbols after a last SS/PBCH block symbol</w:t>
      </w:r>
      <w:r>
        <w:rPr>
          <w:lang w:val="en-US"/>
        </w:rPr>
        <w:t>,</w:t>
      </w:r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in Table 8.</w:t>
      </w:r>
      <w:r>
        <w:rPr>
          <w:lang w:val="en-US"/>
        </w:rPr>
        <w:t>1</w:t>
      </w:r>
      <w:r>
        <w:t>-2</w:t>
      </w:r>
      <w:r>
        <w:rPr>
          <w:lang w:val="en-US"/>
        </w:rPr>
        <w:t xml:space="preserve"> and, </w:t>
      </w:r>
      <w:r>
        <w:rPr>
          <w:rFonts w:hint="eastAsia"/>
        </w:rPr>
        <w:t xml:space="preserve">if </w:t>
      </w:r>
      <w:r>
        <w:rPr>
          <w:i/>
          <w:iCs/>
          <w:lang w:val="en-US"/>
        </w:rPr>
        <w:t>c</w:t>
      </w:r>
      <w:r>
        <w:rPr>
          <w:rFonts w:hint="eastAsia"/>
          <w:i/>
          <w:iCs/>
        </w:rPr>
        <w:t>hannelAccess</w:t>
      </w:r>
      <w:r>
        <w:rPr>
          <w:rFonts w:hint="eastAsia"/>
          <w:i/>
          <w:iCs/>
          <w:lang w:eastAsia="zh-CN"/>
        </w:rPr>
        <w:t>Mode</w:t>
      </w:r>
      <w:r>
        <w:rPr>
          <w:rFonts w:hint="eastAsia"/>
        </w:rPr>
        <w:t xml:space="preserve"> = </w:t>
      </w:r>
      <w:r>
        <w:rPr>
          <w:rFonts w:hint="eastAsia"/>
          <w:i/>
          <w:iCs/>
        </w:rPr>
        <w:t>semistatic</w:t>
      </w:r>
      <w:r>
        <w:rPr>
          <w:rFonts w:hint="eastAsia"/>
        </w:rPr>
        <w:t xml:space="preserve"> is provided, does not overlap with a set of consecutive symbols before the start of a next channel occupancy time where </w:t>
      </w:r>
      <w:r>
        <w:rPr>
          <w:lang w:val="en-US"/>
        </w:rPr>
        <w:t>the UE does not</w:t>
      </w:r>
      <w:r>
        <w:rPr>
          <w:rFonts w:hint="eastAsia"/>
        </w:rPr>
        <w:t xml:space="preserve"> transmi</w:t>
      </w:r>
      <w:r>
        <w:rPr>
          <w:lang w:val="en-US"/>
        </w:rPr>
        <w:t>t</w:t>
      </w:r>
      <w:r>
        <w:rPr>
          <w:rFonts w:hint="eastAsia"/>
        </w:rPr>
        <w:t xml:space="preserve"> [15, TS 37.213]</w:t>
      </w:r>
      <w:r>
        <w:t>.</w:t>
      </w:r>
    </w:p>
    <w:p>
      <w:pPr>
        <w:jc w:val="center"/>
        <w:rPr>
          <w:color w:val="FF0000"/>
        </w:rPr>
      </w:pPr>
    </w:p>
    <w:p>
      <w:pPr>
        <w:jc w:val="center"/>
        <w:rPr>
          <w:lang w:val="en-US"/>
        </w:rPr>
      </w:pPr>
      <w:r>
        <w:rPr>
          <w:color w:val="FF0000"/>
        </w:rPr>
        <w:t>&lt; Unchanged parts are omitted &gt;</w:t>
      </w: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bookmarkEnd w:id="0"/>
    <w:bookmarkEnd w:id="1"/>
    <w:bookmarkEnd w:id="2"/>
    <w:bookmarkEnd w:id="3"/>
    <w:bookmarkEnd w:id="4"/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highlight w:val="yellow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27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27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27"/>
        <w:rFonts w:ascii="Times New Roman" w:hAnsi="Times New Roman"/>
        <w:b w:val="0"/>
        <w:i w:val="0"/>
      </w:rPr>
      <w:t>2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27"/>
      </w:rPr>
    </w:pPr>
    <w:r>
      <w:fldChar w:fldCharType="begin"/>
    </w:r>
    <w:r>
      <w:rPr>
        <w:rStyle w:val="27"/>
      </w:rPr>
      <w:instrText xml:space="preserve">PAGE  </w:instrText>
    </w:r>
    <w:r>
      <w:fldChar w:fldCharType="separate"/>
    </w:r>
    <w:r>
      <w:rPr>
        <w:rStyle w:val="27"/>
      </w:rPr>
      <w:t>1</w:t>
    </w:r>
    <w:r>
      <w:fldChar w:fldCharType="end"/>
    </w:r>
  </w:p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2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845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00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39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C22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0F01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1EBC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2A8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37E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3AC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77B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2B2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8EC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2F7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14"/>
    <w:rsid w:val="00A6437B"/>
    <w:rsid w:val="00A643F9"/>
    <w:rsid w:val="00A644F4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66F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12D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EB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00C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D0A11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70F95"/>
    <w:rsid w:val="16DE10C7"/>
    <w:rsid w:val="16E353AF"/>
    <w:rsid w:val="16EE785C"/>
    <w:rsid w:val="16F84546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7468"/>
    <w:rsid w:val="1CBB0F59"/>
    <w:rsid w:val="1CBB7CFB"/>
    <w:rsid w:val="1CBE2DAD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312DFC"/>
    <w:rsid w:val="1E365099"/>
    <w:rsid w:val="1E377012"/>
    <w:rsid w:val="1E396F9B"/>
    <w:rsid w:val="1E3C35CE"/>
    <w:rsid w:val="1E440A9D"/>
    <w:rsid w:val="1E4E7A0E"/>
    <w:rsid w:val="1E4F1888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B79DE"/>
    <w:rsid w:val="223E4404"/>
    <w:rsid w:val="224B437A"/>
    <w:rsid w:val="224D0D69"/>
    <w:rsid w:val="226837E0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A679F2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B575A2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AE5F8D"/>
    <w:rsid w:val="4BB340E6"/>
    <w:rsid w:val="4BC004F6"/>
    <w:rsid w:val="4BCD4308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81733"/>
    <w:rsid w:val="5FDE2E8C"/>
    <w:rsid w:val="5FE32071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5">
    <w:name w:val="Default Paragraph Font"/>
    <w:unhideWhenUsed/>
    <w:qFormat/>
    <w:uiPriority w:val="1"/>
  </w:style>
  <w:style w:type="table" w:default="1" w:styleId="3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annotation subject"/>
    <w:basedOn w:val="13"/>
    <w:next w:val="13"/>
    <w:semiHidden/>
    <w:qFormat/>
    <w:uiPriority w:val="0"/>
    <w:rPr>
      <w:b/>
      <w:bCs/>
    </w:rPr>
  </w:style>
  <w:style w:type="paragraph" w:styleId="13">
    <w:name w:val="annotation text"/>
    <w:basedOn w:val="1"/>
    <w:link w:val="61"/>
    <w:semiHidden/>
    <w:qFormat/>
    <w:uiPriority w:val="0"/>
  </w:style>
  <w:style w:type="paragraph" w:styleId="14">
    <w:name w:val="caption"/>
    <w:basedOn w:val="1"/>
    <w:next w:val="1"/>
    <w:link w:val="59"/>
    <w:qFormat/>
    <w:uiPriority w:val="0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7">
    <w:name w:val="List 2"/>
    <w:basedOn w:val="1"/>
    <w:qFormat/>
    <w:uiPriority w:val="0"/>
    <w:pPr>
      <w:ind w:left="100" w:leftChars="200" w:hanging="200" w:hangingChars="200"/>
    </w:pPr>
  </w:style>
  <w:style w:type="paragraph" w:styleId="1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9">
    <w:name w:val="footer"/>
    <w:basedOn w:val="20"/>
    <w:qFormat/>
    <w:uiPriority w:val="0"/>
    <w:pPr>
      <w:jc w:val="center"/>
    </w:pPr>
    <w:rPr>
      <w:i/>
    </w:rPr>
  </w:style>
  <w:style w:type="paragraph" w:styleId="20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1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2">
    <w:name w:val="List 5"/>
    <w:basedOn w:val="1"/>
    <w:qFormat/>
    <w:uiPriority w:val="0"/>
    <w:pPr>
      <w:ind w:left="100" w:leftChars="800" w:hanging="200" w:hangingChars="200"/>
    </w:pPr>
  </w:style>
  <w:style w:type="paragraph" w:styleId="23">
    <w:name w:val="List 4"/>
    <w:basedOn w:val="1"/>
    <w:qFormat/>
    <w:uiPriority w:val="0"/>
    <w:pPr>
      <w:ind w:left="100" w:leftChars="600" w:hanging="200" w:hangingChars="200"/>
    </w:pPr>
  </w:style>
  <w:style w:type="paragraph" w:styleId="24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26">
    <w:name w:val="Strong"/>
    <w:basedOn w:val="25"/>
    <w:qFormat/>
    <w:uiPriority w:val="0"/>
    <w:rPr>
      <w:b/>
    </w:rPr>
  </w:style>
  <w:style w:type="character" w:styleId="27">
    <w:name w:val="page number"/>
    <w:basedOn w:val="25"/>
    <w:qFormat/>
    <w:uiPriority w:val="0"/>
  </w:style>
  <w:style w:type="character" w:styleId="28">
    <w:name w:val="FollowedHyperlink"/>
    <w:qFormat/>
    <w:uiPriority w:val="0"/>
    <w:rPr>
      <w:color w:val="800080"/>
      <w:u w:val="single"/>
    </w:rPr>
  </w:style>
  <w:style w:type="character" w:styleId="29">
    <w:name w:val="Emphasis"/>
    <w:qFormat/>
    <w:uiPriority w:val="0"/>
    <w:rPr>
      <w:i/>
      <w:iCs/>
    </w:rPr>
  </w:style>
  <w:style w:type="character" w:styleId="30">
    <w:name w:val="HTML Definition"/>
    <w:basedOn w:val="25"/>
    <w:qFormat/>
    <w:uiPriority w:val="0"/>
  </w:style>
  <w:style w:type="character" w:styleId="31">
    <w:name w:val="HTML Acronym"/>
    <w:basedOn w:val="25"/>
    <w:qFormat/>
    <w:uiPriority w:val="0"/>
  </w:style>
  <w:style w:type="character" w:styleId="32">
    <w:name w:val="HTML Variable"/>
    <w:basedOn w:val="25"/>
    <w:qFormat/>
    <w:uiPriority w:val="0"/>
    <w:rPr>
      <w:vanish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HTML Code"/>
    <w:basedOn w:val="25"/>
    <w:qFormat/>
    <w:uiPriority w:val="0"/>
    <w:rPr>
      <w:rFonts w:ascii="Courier New" w:hAnsi="Courier New"/>
      <w:sz w:val="20"/>
    </w:rPr>
  </w:style>
  <w:style w:type="character" w:styleId="35">
    <w:name w:val="annotation reference"/>
    <w:semiHidden/>
    <w:qFormat/>
    <w:uiPriority w:val="0"/>
    <w:rPr>
      <w:sz w:val="21"/>
      <w:szCs w:val="21"/>
    </w:rPr>
  </w:style>
  <w:style w:type="character" w:styleId="36">
    <w:name w:val="HTML Cite"/>
    <w:basedOn w:val="25"/>
    <w:qFormat/>
    <w:uiPriority w:val="0"/>
  </w:style>
  <w:style w:type="table" w:styleId="38">
    <w:name w:val="Table Grid"/>
    <w:basedOn w:val="37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9">
    <w:name w:val="Table Theme"/>
    <w:basedOn w:val="37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3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20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1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4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5"/>
    <w:qFormat/>
    <w:uiPriority w:val="0"/>
  </w:style>
  <w:style w:type="character" w:customStyle="1" w:styleId="61">
    <w:name w:val="Comment Text Char"/>
    <w:link w:val="13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7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5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5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5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5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5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6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6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2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4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5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5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5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5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5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5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5"/>
    <w:qFormat/>
    <w:uiPriority w:val="0"/>
  </w:style>
  <w:style w:type="character" w:customStyle="1" w:styleId="140">
    <w:name w:val="high-light-bg5"/>
    <w:basedOn w:val="25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</Pages>
  <Words>535</Words>
  <Characters>3054</Characters>
  <Lines>25</Lines>
  <Paragraphs>7</Paragraphs>
  <TotalTime>0</TotalTime>
  <ScaleCrop>false</ScaleCrop>
  <LinksUpToDate>false</LinksUpToDate>
  <CharactersWithSpaces>3582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TIANLI10182718</cp:lastModifiedBy>
  <cp:lastPrinted>2018-02-16T23:29:00Z</cp:lastPrinted>
  <dcterms:modified xsi:type="dcterms:W3CDTF">2021-04-06T07:42:20Z</dcterms:modified>
  <dc:title>3GPP TSG RAN WG1 #102-e	R1-20xxxxx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